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>Plan upravljanja istraživačkim podacima</w:t>
      </w:r>
    </w:p>
    <w:p>
      <w:pPr>
        <w:pStyle w:val="Normal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</w:r>
    </w:p>
    <w:tbl>
      <w:tblPr>
        <w:tblStyle w:val="TableGrid"/>
        <w:tblW w:w="138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3578"/>
        <w:gridCol w:w="9889"/>
      </w:tblGrid>
      <w:tr>
        <w:trPr>
          <w:trHeight w:val="509" w:hRule="atLeast"/>
        </w:trPr>
        <w:tc>
          <w:tcPr>
            <w:tcW w:w="13887" w:type="dxa"/>
            <w:gridSpan w:val="3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Opće informacije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 xml:space="preserve">Ime i prezime predlagatelja </w:t>
            </w:r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 xml:space="preserve">prof. dr.sc. Josip Begovac 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Matična organizacija</w:t>
            </w:r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Medicinski fakultet Sveučilišta u Zagrebu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Naziv projekta</w:t>
            </w:r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Molekularna epidemiologija, kliničke osobitosti i skrb za osobe zaražene HIV-om</w:t>
            </w:r>
          </w:p>
        </w:tc>
      </w:tr>
      <w:tr>
        <w:trPr/>
        <w:tc>
          <w:tcPr>
            <w:tcW w:w="42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Upravitelj podacima</w:t>
            </w:r>
          </w:p>
        </w:tc>
        <w:tc>
          <w:tcPr>
            <w:tcW w:w="988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Josip Begovac, josip.begovac@gmail.com</w:t>
            </w:r>
          </w:p>
        </w:tc>
      </w:tr>
      <w:tr>
        <w:trPr>
          <w:trHeight w:val="428" w:hRule="atLeast"/>
        </w:trPr>
        <w:tc>
          <w:tcPr>
            <w:tcW w:w="42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1.</w:t>
            </w:r>
          </w:p>
        </w:tc>
        <w:tc>
          <w:tcPr>
            <w:tcW w:w="13467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Open Sans" w:ascii="Calibri" w:hAnsi="Calibri"/>
                <w:kern w:val="0"/>
                <w:sz w:val="20"/>
                <w:szCs w:val="20"/>
                <w:lang w:val="hr-HR" w:eastAsia="en-US" w:bidi="ar-SA"/>
              </w:rPr>
              <w:t>Prikupljanje podataka i dokumentacija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Koje ćete podatke prikupljati, obrađivati, stvarati ili se ponovno njima koristiti? (navedite format, vrstu i opseg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Prikupljani podatci mogu se klasificirati u dvije kategorije: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 xml:space="preserve">-Socio-demografski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1.datumu ulaska u kliničku skrb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2. datum rođenja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3. dob kod ulaska u skrb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4. rizična skupina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5. zemlja porijekla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-laboratorijski podaci (imunološki i molekularni 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1. viremija virusa u krvi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2. broj CD4 limfocita T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Laboratorijski i klinički podatci koji su odabrani za istraživanje prikupit će se iz medicinske dokumentacije bolesnika koja je, sukladno internim standardnim operativnim postupcima Klinike, pohranjena u bolničkom informacijskom sustavu (BIS). Osim BIS-a kliničk-demografski podatci će se ekstrahirati i iz elektroničke baze podataka Klinike za infektivne bolesti. Pristup bazi je ograničen na 5 osoba.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Za analizu molekularne epidemiologije HIV infekcije u Hrvatskoj te utjecaja transmisijskih klastera na prevalenciju i obrazac primarne rezistencije HIV-a na antiretrovirusne lijekove u novodijagnosticiranih zaraženih osoba planira se uključiti  oko 100 pacijenata godišnje.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 xml:space="preserve">U eksperimentanom dijelu  istraživanja stvarat će se podaci populacijskog sekvenciranja u obliku nukleinskih kiselina za određivanje genotipova, podtipova i varijanti HIV-a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Kreirat će se  bazu podataka bolesnika u formatu Excell gdje će biti pohranjeni rezultati populacijskog sekvenciranja.  Za pohranu svih podataka bit će potrebno do 2 MB.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 se podaci prikupljati, obrađivati ili stvarati? (ukratko navedite metodologiju i procese osiguranja kvalitete te načine organiziranja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 xml:space="preserve">Za određivanje rezistencija HIV-a na antiretrovirusne lijekove  koristit će se slijed nukleinskih kiselina koji se generiraraju populacijskim sekvenciranjem na ABIprism 3500 sekvenceru. Podatci se dobiju u ABI formatu koji će se analizirati u SNAP Gene 5.3.2 software radi poravnavanja sekvenci, a potom unositi u Stanford HIV datebase, besplatne online platforme, s kojom se utvrđuju mutacije povezane sa rezistencijom. Slijed nukleinskih kiselina  korist će se i za subtipizaciju virusa HIV-a koji se u fasta formatu unosi u REGA algoritam za određivanje subtipa. Za filogenetiku i filodinamiku koristit će se podaci koji se generiraju sekvenciranjem, tj, slijed nukleinskih kiselina u fasta formatu.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ZA NGS sekvenciranje podatci se generiraju u obliku fastq_gz file-ova generiranih  sa Ilumina (Miniseq) tehnologijom te unose u HyDRA Web aplikaciju (besplatno na internetu) za detekciju niskofrekventnih mutacija.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Eksperimentalne metode (sekvenciranje nukleinskih kiselina) bit će provedene prema ranije optimiziranim laboratorijskim postupcima koji sadrže potrebne analitičke kontrole. U sklopu sustava osiguranja kvalitete, u Klinici za infektivne bolesti instituciji se provodi validacija i redovito servisiranje instrumenata. U svrhu dodatnog osiguranja kvalitete, povodi se i vanjska kontrola kvalitete za laboratorijske postupke. Izvorni rezultati eksperimentalnih metoda pohranjuju se u instrumentu.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Koju ćete dokumentaciju i metapodatke ustupiti osim podataka? (navedite koje su informacije potrebne korisnicima kako bi mogli čitati i interpretirati podatke u budućnosti te koji će se standardi koristiti pri tumačenju podataka)</w:t>
            </w:r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Svaki sekvencirani uzorak u obliku slijeda nukleinskih kiselina koji će se koristiti za filodinamiku i filogenetiku unijet će se u GeneBank, bazu sekvenci NIH te dobiti jedinstveni broj s kojim će biti naveden u radu koji se planira objaviti. Tako da će svaka sekvenca pod odgovarajućim brojem biti dostupna online u GeneBank-u.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 xml:space="preserve">Eksperimentalni postupci bit će opisani i dostupni u dijelu Materijals and methods znanstvenog rada koji će se objavljen u sklopu projekta te biti dostupni znanstvenoj javnosti bez ograničenja.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Open Sans;Arial" w:hAnsi="Open Sans;Arial" w:cs="Open Sans;Arial"/>
                <w:sz w:val="18"/>
                <w:szCs w:val="18"/>
              </w:rPr>
            </w:pPr>
            <w:r>
              <w:rPr>
                <w:rFonts w:cs="Open Sans;Arial" w:ascii="Open Sans;Arial" w:hAnsi="Open Sans;Arial"/>
                <w:sz w:val="18"/>
                <w:szCs w:val="18"/>
              </w:rPr>
            </w:r>
          </w:p>
        </w:tc>
      </w:tr>
      <w:tr>
        <w:trPr>
          <w:trHeight w:val="428" w:hRule="atLeast"/>
        </w:trPr>
        <w:tc>
          <w:tcPr>
            <w:tcW w:w="42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2.</w:t>
            </w:r>
          </w:p>
        </w:tc>
        <w:tc>
          <w:tcPr>
            <w:tcW w:w="13467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Pravna i sigurnosna pitanja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Jeste li ograničeni sporazumom o povjerljivosti? Imate li potrebna dopuštenja za prikupljanje, obradu, čuvanje i dijeljenje podataka? Jesu li osobe čiji se podaci pohranjuju informirani o tome i jesu li dali privolu? Kojim ćete se metodama koristiti u svrhu zaštite osjetljivih podataka (GDPR - posebne kategorije osobnih podataka)?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Etičko povjerenstvo Medicinskog fakulteta odobrilo je ovaj projekt. Sukladno uobičajenim procedurama za biomedicinska istraživanja, svi ispitanici potpisali su informirani pristanak za sudjelovanje u istraživanju</w:t>
            </w:r>
            <w:r>
              <w:rPr>
                <w:rFonts w:ascii="Calibri" w:hAnsi="Calibri"/>
                <w:sz w:val="20"/>
                <w:szCs w:val="20"/>
              </w:rPr>
              <w:t xml:space="preserve"> nakon što </w:t>
            </w:r>
            <w:r>
              <w:rPr>
                <w:rFonts w:cs="Open Sans;Arial" w:ascii="Calibri" w:hAnsi="Calibri"/>
                <w:sz w:val="20"/>
                <w:szCs w:val="20"/>
              </w:rPr>
              <w:t>pročitali su obavijest o projektu. Zaštita osjetljivih podataka provodi se sukladno standardnim operativnim postupcima Klinike za infektivne bolesti. Projekt poštuje sva pravila i propise utvrđene Zakonom o podacima i informacijama u zdravstvu (NN 14/19).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val="hr-HR" w:eastAsia="en-US" w:bidi="ar-SA"/>
              </w:rPr>
            </w:pPr>
            <w:r>
              <w:rPr>
                <w:rFonts w:eastAsia="Calibri" w:cs="Open Sans" w:ascii="Calibri" w:hAnsi="Calibri"/>
                <w:kern w:val="0"/>
                <w:sz w:val="20"/>
                <w:szCs w:val="20"/>
                <w:lang w:val="hr-HR" w:eastAsia="en-US" w:bidi="ar-SA"/>
              </w:rPr>
              <w:t xml:space="preserve">Kako će se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Dio podataka pohranjen je u bolničkom informacijskom sustavu (BIS) te zaštićen u skladu sa standardnim operativnim postupcima Klinike za infektivne bolesti uz ograničenje pristupa (šifrirano). Podatci  generirani u analitičkim instrumentima obrađuju se u zaštićenom nemrežnom okruženu korištenjem softvera instrumenta. Obrađeni podatci se dodatno obrađuju u anonimiziranom obliku. Pristup izvornim podatcima iz instrumenta kao i obrađenim podatcima je ograničen na tri člana istraživačke skupine te zaštićen. Svi podatci o identitetu ispitanika fizički su pohranjeni i nisu dostupni u elektronskom obliku.  Svim pacijentima je pridružena jedinstvena  šifra (CRO_šifra) koju dobivaju pri ulasku u skrb i ona je oznaka i njihove sekvence u daljem radu.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ćete upravljati zaštitom autorskih prava i intelektualnog vlasništva? Tko će biti vlasnik podataka? Koje će se licencije primjenjivati na podatke? Koja će se ograničenja primjenjivati na ponovnu uporabu osobnih podataka?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Rezultati istraživanja se ne namjeravaju patentirati i ne očekuje se problem oko pitanja intelektualnog vlasništva. Rezultati istraživanja bit će objavljeni znanstvenoj javnosti bez ograničenja. Podatci koji će biti prikupljeni tijekom ovog istraživanja neće biti korišteni u bilo koju drugu svrhu (npr. neka druga istraživanja).</w:t>
            </w:r>
          </w:p>
        </w:tc>
      </w:tr>
      <w:tr>
        <w:trPr>
          <w:trHeight w:val="428" w:hRule="atLeast"/>
        </w:trPr>
        <w:tc>
          <w:tcPr>
            <w:tcW w:w="42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3.</w:t>
            </w:r>
          </w:p>
        </w:tc>
        <w:tc>
          <w:tcPr>
            <w:tcW w:w="13467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Pohrana i čuvanje podataka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će podaci biti pohranjeni i kako će biti napravljena sigurnosna kopija podataka (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backup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) tijekom istraživanja? Koji su kapaciteti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čuvanja podataka kojim raspolažete? Kojim se procedurama koristite za sigurnosnu kopiju (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backup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)?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Open Sans;Arial" w:hAnsi="Open Sans;Arial" w:cs="Open Sans;Arial"/>
                <w:sz w:val="18"/>
                <w:szCs w:val="18"/>
              </w:rPr>
            </w:pPr>
            <w:r>
              <w:rPr>
                <w:rFonts w:cs="Open Sans;Arial" w:ascii="Open Sans;Arial" w:hAnsi="Open Sans;Arial"/>
                <w:sz w:val="18"/>
                <w:szCs w:val="18"/>
              </w:rPr>
              <w:t>Laboratorijski zapisi i rezultati obrade podataka bit će pohranjeni u instrumentima u laboratoriju suradnika koji izvodi eksperimenatalnio dio istraživanja. Sigurnosne kopije se generiraju svakih nekoliko dana. Kapacitet pohrane svih podataka projekta bi bio DO 3MB.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Open Sans;Arial" w:hAnsi="Open Sans;Arial" w:cs="Open Sans;Arial"/>
                <w:sz w:val="18"/>
                <w:szCs w:val="18"/>
              </w:rPr>
            </w:pPr>
            <w:r>
              <w:rPr>
                <w:rFonts w:cs="Open Sans;Arial" w:ascii="Open Sans;Arial" w:hAnsi="Open Sans;Arial"/>
                <w:sz w:val="18"/>
                <w:szCs w:val="18"/>
              </w:rPr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Koji je vaš plan čuvanja podataka? U kojim će se formatima čuvati?</w:t>
            </w:r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Rezultate istraživanja planiramo sačuvati barem  10 godina. Podatci će se čuvati u elektroničkom obliku na računalu voditelja projekta i suradnika u laboratoriju te u fizičkom obliku unutar institucije.</w:t>
            </w:r>
          </w:p>
        </w:tc>
      </w:tr>
      <w:tr>
        <w:trPr>
          <w:trHeight w:val="428" w:hRule="atLeast"/>
        </w:trPr>
        <w:tc>
          <w:tcPr>
            <w:tcW w:w="420" w:type="dxa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4.</w:t>
            </w:r>
          </w:p>
        </w:tc>
        <w:tc>
          <w:tcPr>
            <w:tcW w:w="13467" w:type="dxa"/>
            <w:gridSpan w:val="2"/>
            <w:tcBorders/>
            <w:shd w:color="auto" w:fill="D9E2F3" w:themeFill="accent1" w:themeFillTint="33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lang w:eastAsia="en-US" w:bidi="ar-SA"/>
              </w:rPr>
            </w:pPr>
            <w:r>
              <w:rPr>
                <w:rFonts w:eastAsia="Calibri" w:cs="Open Sans" w:ascii="Calibri" w:hAnsi="Calibri"/>
                <w:kern w:val="0"/>
                <w:sz w:val="20"/>
                <w:szCs w:val="20"/>
                <w:lang w:val="pl-PL" w:eastAsia="en-US" w:bidi="ar-SA"/>
              </w:rPr>
              <w:t>Dijeljenje i ponovna uporaba podataka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Kako i gdje će se podaci dijeliti? Na kojem repozitoriju planirate dijeliti podatke? Kako će potencijalni korisnici doznati za podatke?</w:t>
            </w:r>
            <w:bookmarkEnd w:id="0"/>
          </w:p>
        </w:tc>
        <w:tc>
          <w:tcPr>
            <w:tcW w:w="988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libri" w:hAnsi="Calibri" w:cs="Open Sans;Arial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Kliničko-demografski podatci ispitanika se neće dijeliti i nisu javno dostupni zbog povjerljivosti podataka o pacijentu. Osjetljiva priroda ovih informacija kao i relativno mali broj pacijenata uključen u ovaj skup podataka može dovesti do identificiranja i stoga ne dopušta da ovaj skup podataka bude javan.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Open Sans;Arial" w:ascii="Calibri" w:hAnsi="Calibri"/>
                <w:sz w:val="20"/>
                <w:szCs w:val="20"/>
              </w:rPr>
              <w:t>Sekvence HIV gena bit će unešene u bazu GeneBank (https://www.ncbi.nlm.nih.gov/genbank/) prilikom slanja izvornih znanstvenih radova na recenziju. Nakon što se objavi znanstveni rad proistekao iz istraživanja , svi zainteresirani mogu pristupiti izvornim rezultatima temeljem pristupnog broja u GeneBank koji će biti naveden u objavljenom radu.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Open Sans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Open Sans" w:ascii="Calibri" w:hAnsi="Calibri"/>
                <w:kern w:val="0"/>
                <w:sz w:val="20"/>
                <w:szCs w:val="20"/>
                <w:lang w:val="hr-HR" w:eastAsia="en-US" w:bidi="ar-SA"/>
              </w:rPr>
              <w:t>Ne postoje.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 xml:space="preserve">Potvrdite da ćete se koristiti digitalnim repozitorijem koji je u skladu s načelima </w:t>
            </w:r>
            <w:r>
              <w:rPr>
                <w:rFonts w:eastAsia="Calibri" w:cs="Open Sans" w:ascii="Open Sans" w:hAnsi="Open Sans"/>
                <w:i/>
                <w:iCs/>
                <w:kern w:val="0"/>
                <w:sz w:val="20"/>
                <w:szCs w:val="20"/>
                <w:lang w:val="hr-HR" w:eastAsia="en-US" w:bidi="ar-SA"/>
              </w:rPr>
              <w:t>FAIR-a</w:t>
            </w: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Open Sans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Open Sans" w:ascii="Calibri" w:hAnsi="Calibri"/>
                <w:kern w:val="0"/>
                <w:sz w:val="20"/>
                <w:szCs w:val="20"/>
                <w:lang w:val="hr-HR" w:eastAsia="en-US" w:bidi="ar-SA"/>
              </w:rPr>
              <w:t>Da</w:t>
            </w:r>
          </w:p>
        </w:tc>
      </w:tr>
      <w:tr>
        <w:trPr/>
        <w:tc>
          <w:tcPr>
            <w:tcW w:w="4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eastAsia="Calibri" w:cs="Open Sans" w:ascii="Open Sans" w:hAnsi="Open Sans"/>
                <w:kern w:val="0"/>
                <w:sz w:val="18"/>
                <w:szCs w:val="18"/>
                <w:lang w:val="hr-HR" w:eastAsia="en-US" w:bidi="ar-SA"/>
              </w:rPr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eastAsia="Calibri" w:cs="Open Sans" w:ascii="Open Sans" w:hAnsi="Open Sans"/>
                <w:kern w:val="0"/>
                <w:sz w:val="20"/>
                <w:szCs w:val="20"/>
                <w:lang w:val="hr-HR" w:eastAsia="en-US" w:bidi="ar-SA"/>
              </w:rPr>
              <w:t>Potvrdite da ćete se koristiti digitalnim repozitorijem koji održava neprofitna organizacija (ako ne, objasnite zašto ne možete dijeliti podatke na digitalnom repozitoriju koji nije komercijalan).</w:t>
            </w:r>
          </w:p>
        </w:tc>
        <w:tc>
          <w:tcPr>
            <w:tcW w:w="988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Open Sans"/>
                <w:kern w:val="0"/>
                <w:sz w:val="20"/>
                <w:szCs w:val="20"/>
                <w:lang w:val="hr-HR" w:eastAsia="en-US" w:bidi="ar-SA"/>
              </w:rPr>
            </w:pPr>
            <w:r>
              <w:rPr>
                <w:rFonts w:eastAsia="Calibri" w:cs="Open Sans" w:ascii="Calibri" w:hAnsi="Calibri"/>
                <w:kern w:val="0"/>
                <w:sz w:val="20"/>
                <w:szCs w:val="20"/>
                <w:lang w:val="hr-HR" w:eastAsia="en-US" w:bidi="ar-SA"/>
              </w:rPr>
              <w:t>Da</w:t>
            </w:r>
          </w:p>
        </w:tc>
      </w:tr>
    </w:tbl>
    <w:p>
      <w:pPr>
        <w:pStyle w:val="Normal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</w:r>
    </w:p>
    <w:p>
      <w:pPr>
        <w:pStyle w:val="Normal"/>
        <w:rPr>
          <w:rFonts w:ascii="Open Sans" w:hAnsi="Open Sans" w:cs="Open Sans"/>
          <w:sz w:val="18"/>
          <w:szCs w:val="18"/>
        </w:rPr>
      </w:pPr>
      <w:r>
        <w:rPr>
          <w:rFonts w:cs="Open Sans" w:ascii="Open Sans" w:hAnsi="Open Sans"/>
          <w:sz w:val="18"/>
          <w:szCs w:val="18"/>
        </w:rPr>
      </w:r>
    </w:p>
    <w:p>
      <w:pPr>
        <w:pStyle w:val="Normal"/>
        <w:spacing w:before="0" w:after="0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Ref:  </w:t>
      </w:r>
    </w:p>
    <w:p>
      <w:pPr>
        <w:pStyle w:val="Normal"/>
        <w:spacing w:before="0" w:after="160"/>
        <w:rPr>
          <w:rFonts w:ascii="Open Sans" w:hAnsi="Open Sans" w:cs="Open Sans"/>
          <w:sz w:val="20"/>
          <w:szCs w:val="20"/>
        </w:rPr>
      </w:pPr>
      <w:r>
        <w:rPr>
          <w:rFonts w:cs="Open Sans" w:ascii="Open Sans" w:hAnsi="Open Sans"/>
          <w:sz w:val="20"/>
          <w:szCs w:val="20"/>
        </w:rPr>
        <w:t xml:space="preserve">[1] Celjak, D., Dorotić Malič, I., Matijević, M., Poljak, Lj., Posavec K. i Turk, I.: „Istraživački podaci - što s njima?“ </w:t>
      </w:r>
      <w:hyperlink r:id="rId2">
        <w:r>
          <w:rPr>
            <w:rStyle w:val="InternetLink"/>
            <w:rFonts w:cs="Open Sans" w:ascii="Open Sans" w:hAnsi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Open Sans">
    <w:charset w:val="ee"/>
    <w:family w:val="roman"/>
    <w:pitch w:val="variable"/>
  </w:font>
  <w:font w:name="Calibri">
    <w:charset w:val="01"/>
    <w:family w:val="swiss"/>
    <w:pitch w:val="variable"/>
  </w:font>
  <w:font w:name="Ope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4407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33ba0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d33ba0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d33ba0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b1f03"/>
    <w:pPr>
      <w:spacing w:before="0" w:after="160"/>
      <w:ind w:left="720" w:hanging="0"/>
      <w:contextualSpacing/>
    </w:pPr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40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d33b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d33ba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pozitorij.srce.unizg.hr/islandora/object/srce:32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LibreOffice/7.4.3.2$Windows_X86_64 LibreOffice_project/1048a8393ae2eeec98dff31b5c133c5f1d08b890</Application>
  <AppVersion>15.0000</AppVersion>
  <Pages>4</Pages>
  <Words>1198</Words>
  <Characters>7590</Characters>
  <CharactersWithSpaces>8747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2021-11-09T11:05:00Z</dcterms:created>
  <dc:creator>Dejana Carić</dc:creator>
  <dc:description/>
  <dc:language>hr-HR</dc:language>
  <cp:lastModifiedBy/>
  <dcterms:modified xsi:type="dcterms:W3CDTF">2024-02-02T09:52:01Z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